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6"/>
          <w:szCs w:val="26"/>
        </w:rPr>
      </w:pPr>
      <w:r w:rsidDel="00000000" w:rsidR="00000000" w:rsidRPr="00000000">
        <w:rPr>
          <w:rFonts w:ascii="Archivo" w:cs="Archivo" w:eastAsia="Archivo" w:hAnsi="Archivo"/>
          <w:b w:val="1"/>
          <w:sz w:val="26"/>
          <w:szCs w:val="26"/>
          <w:rtl w:val="0"/>
        </w:rPr>
        <w:t xml:space="preserve">En Jungala Aqua Experience todos nos divertimos como niños</w:t>
      </w:r>
    </w:p>
    <w:p w:rsidR="00000000" w:rsidDel="00000000" w:rsidP="00000000" w:rsidRDefault="00000000" w:rsidRPr="00000000" w14:paraId="00000003">
      <w:pPr>
        <w:jc w:val="center"/>
        <w:rPr>
          <w:rFonts w:ascii="Archivo" w:cs="Archivo" w:eastAsia="Archivo" w:hAnsi="Archivo"/>
          <w:b w:val="1"/>
          <w:sz w:val="26"/>
          <w:szCs w:val="26"/>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chivo" w:cs="Archivo" w:eastAsia="Archivo" w:hAnsi="Archivo"/>
        </w:rPr>
      </w:pPr>
      <w:r w:rsidDel="00000000" w:rsidR="00000000" w:rsidRPr="00000000">
        <w:rPr>
          <w:rFonts w:ascii="Archivo" w:cs="Archivo" w:eastAsia="Archivo" w:hAnsi="Archivo"/>
          <w:rtl w:val="0"/>
        </w:rPr>
        <w:t xml:space="preserve">Atracciones acuáticas para toda la familia, cabañas privadas y servicio de concierge, todo inmerso en la naturaleza de Vidanta en la Riviera Maya</w:t>
      </w:r>
      <w:r w:rsidDel="00000000" w:rsidR="00000000" w:rsidRPr="00000000">
        <w:rPr>
          <w:rtl w:val="0"/>
        </w:rPr>
      </w:r>
    </w:p>
    <w:p w:rsidR="00000000" w:rsidDel="00000000" w:rsidP="00000000" w:rsidRDefault="00000000" w:rsidRPr="00000000" w14:paraId="00000006">
      <w:pPr>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Vidanta Riviera Maya, a 28 de abril de 2022.- </w:t>
      </w:r>
      <w:r w:rsidDel="00000000" w:rsidR="00000000" w:rsidRPr="00000000">
        <w:rPr>
          <w:rFonts w:ascii="Archivo" w:cs="Archivo" w:eastAsia="Archivo" w:hAnsi="Archivo"/>
          <w:rtl w:val="0"/>
        </w:rPr>
        <w:t xml:space="preserve">El Día del Niño es una celebración muy especial para tus hijos, y más si pueden recordar ese momento durante toda su vida al vivir una experiencia increíble en la cual incluyas actividades divertidas y al aire libre.</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Por esta razón, </w:t>
      </w:r>
      <w:hyperlink r:id="rId6">
        <w:r w:rsidDel="00000000" w:rsidR="00000000" w:rsidRPr="00000000">
          <w:rPr>
            <w:rFonts w:ascii="Archivo" w:cs="Archivo" w:eastAsia="Archivo" w:hAnsi="Archivo"/>
            <w:color w:val="1155cc"/>
            <w:u w:val="single"/>
            <w:rtl w:val="0"/>
          </w:rPr>
          <w:t xml:space="preserve">Jungala Aqua Experience</w:t>
        </w:r>
      </w:hyperlink>
      <w:r w:rsidDel="00000000" w:rsidR="00000000" w:rsidRPr="00000000">
        <w:rPr>
          <w:rFonts w:ascii="Archivo" w:cs="Archivo" w:eastAsia="Archivo" w:hAnsi="Archivo"/>
          <w:rtl w:val="0"/>
        </w:rPr>
        <w:t xml:space="preserve"> es el lugar perfecto para que las niñas y los niños puedan pasar esta fecha de manera extraordinaria gracias a las atracciones, toboganes y albercas, pero sobre todo habrá grandes sorpresas para toda la familia.</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Durante su visita a esta asombrosa experiencia acuática, los más pequeños podrán disfrutar el Kids Rain-Fortess, la estructura de juego interactiva más grande del mundo, con más de 300 elementos como toboganes, fuentes, cañones de agua y aspersores, entre otros. Otro atractivo diseñado especialmente para ellos es el Kids Waterslide Complex, con múltiples toboganes donde pueden echar a volar su imaginación.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De igual manera, los pequeños podrán disfrutar del icónico Lazy River, un atractivo que recorre toda la circunferencia del parque y que cuenta con una extensión mayor de un kilómetro lo que lo vuelve el más largo en su tipo en toda Latinoamérica.</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Para los niños más grandes, cuenta con la alberca Brave Wave, que utiliza tecnología de última generación para replicar la corriente oceánica con olas que pueden medir hasta 1.5 metros de alto. Por su parte, Tropical Whizzard inspira la sana competencia entre amigos a bordo de un tapete para deslizarse y descubrir quién es el más rápido en recorrer los toboganes de alta velocidad.</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Además, cuenta con 19 cabañas privadas diseñadas para ofrecer atención personalizada y relajación sin límites. Asimismo existen 5 distintas opciones que incluyen desde atención de concierge, caja de seguridad, toallas refrescantes, limpieza de lentes de sol y spray de agua, hasta  facial,  bebidas, bocadillos y botella de champagne.</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No dejes pasar el próximo Día del Niño sin consentir a los que más quieres y hacerle saber que la infancia  se trata de experimentar, crecer y divertirse.</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Jungala Aqua Experience opera de martes a domingo, de 10:00 a 18:00 hrs. Se localiza en el kilómetro 48 de la carretera Cancún – Playa del Carmen, Quintana Roo</w:t>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Fonts w:ascii="Archivo" w:cs="Archivo" w:eastAsia="Archivo" w:hAnsi="Archivo"/>
          <w:rtl w:val="0"/>
        </w:rPr>
        <w:t xml:space="preserve">Para conocer más acerca de las experiencias que ofrece Grupo Vidanta, así como su portafolio completo de destinos, resorts e innovadoras vivencias vacacionales y de entretenimiento, por favor visite </w:t>
      </w:r>
      <w:hyperlink r:id="rId7">
        <w:r w:rsidDel="00000000" w:rsidR="00000000" w:rsidRPr="00000000">
          <w:rPr>
            <w:rFonts w:ascii="Archivo" w:cs="Archivo" w:eastAsia="Archivo" w:hAnsi="Archivo"/>
            <w:color w:val="1155cc"/>
            <w:u w:val="single"/>
            <w:rtl w:val="0"/>
          </w:rPr>
          <w:t xml:space="preserve">www.GrupoVidanta.com</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18">
      <w:pPr>
        <w:rPr>
          <w:rFonts w:ascii="Archivo" w:cs="Archivo" w:eastAsia="Archivo" w:hAnsi="Archivo"/>
        </w:rPr>
      </w:pPr>
      <w:r w:rsidDel="00000000" w:rsidR="00000000" w:rsidRPr="00000000">
        <w:rPr>
          <w:rtl w:val="0"/>
        </w:rPr>
      </w:r>
    </w:p>
    <w:p w:rsidR="00000000" w:rsidDel="00000000" w:rsidP="00000000" w:rsidRDefault="00000000" w:rsidRPr="00000000" w14:paraId="00000019">
      <w:pPr>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1B">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r w:rsidDel="00000000" w:rsidR="00000000" w:rsidRPr="00000000">
        <w:rPr>
          <w:rtl w:val="0"/>
        </w:rPr>
      </w:r>
    </w:p>
    <w:p w:rsidR="00000000" w:rsidDel="00000000" w:rsidP="00000000" w:rsidRDefault="00000000" w:rsidRPr="00000000" w14:paraId="0000001C">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The Grand Bliss, The Grand Mayan, The Bliss, Mayan Palace, Sea Garden, Ocean Breeze, entre otros; Vidanta Cruises, la primera línea mexicana de cruceros de lujo; y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1E">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rsidR="00000000" w:rsidDel="00000000" w:rsidP="00000000" w:rsidRDefault="00000000" w:rsidRPr="00000000" w14:paraId="00000020">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2">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8">
        <w:r w:rsidDel="00000000" w:rsidR="00000000" w:rsidRPr="00000000">
          <w:rPr>
            <w:rFonts w:ascii="Archivo" w:cs="Archivo" w:eastAsia="Archivo" w:hAnsi="Archivo"/>
            <w:color w:val="00837e"/>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únase a la conversación en plataformas digitales con </w:t>
      </w:r>
      <w:hyperlink r:id="rId9">
        <w:r w:rsidDel="00000000" w:rsidR="00000000" w:rsidRPr="00000000">
          <w:rPr>
            <w:rFonts w:ascii="Archivo" w:cs="Archivo" w:eastAsia="Archivo" w:hAnsi="Archivo"/>
            <w:color w:val="0000ff"/>
            <w:sz w:val="18"/>
            <w:szCs w:val="18"/>
            <w:u w:val="single"/>
            <w:rtl w:val="0"/>
          </w:rPr>
          <w:t xml:space="preserve">@Vidanta</w:t>
        </w:r>
      </w:hyperlink>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24">
      <w:pPr>
        <w:spacing w:line="24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25">
      <w:pPr>
        <w:spacing w:line="240" w:lineRule="auto"/>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27">
      <w:pPr>
        <w:spacing w:line="240"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 DE PRENSA</w:t>
      </w:r>
    </w:p>
    <w:p w:rsidR="00000000" w:rsidDel="00000000" w:rsidP="00000000" w:rsidRDefault="00000000" w:rsidRPr="00000000" w14:paraId="00000028">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9">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2A">
      <w:pPr>
        <w:spacing w:line="240" w:lineRule="auto"/>
        <w:rPr>
          <w:rFonts w:ascii="Archivo" w:cs="Archivo" w:eastAsia="Archivo" w:hAnsi="Archivo"/>
          <w:sz w:val="20"/>
          <w:szCs w:val="20"/>
        </w:rPr>
      </w:pPr>
      <w:hyperlink r:id="rId10">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2B">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C">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2D">
      <w:pPr>
        <w:spacing w:line="240" w:lineRule="auto"/>
        <w:rPr>
          <w:rFonts w:ascii="Archivo" w:cs="Archivo" w:eastAsia="Archivo" w:hAnsi="Archivo"/>
          <w:sz w:val="20"/>
          <w:szCs w:val="20"/>
        </w:rPr>
      </w:pPr>
      <w:hyperlink r:id="rId11">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E">
      <w:pPr>
        <w:spacing w:line="240" w:lineRule="auto"/>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42820" cy="489585"/>
          <wp:effectExtent b="0" l="0" r="0" t="0"/>
          <wp:wrapTopAndBottom distB="0" distT="0"/>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2820" cy="4895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elissa.aladro@another.co" TargetMode="External"/><Relationship Id="rId10" Type="http://schemas.openxmlformats.org/officeDocument/2006/relationships/hyperlink" Target="mailto:francisco.granados@another.co" TargetMode="External"/><Relationship Id="rId12" Type="http://schemas.openxmlformats.org/officeDocument/2006/relationships/header" Target="header1.xml"/><Relationship Id="rId9" Type="http://schemas.openxmlformats.org/officeDocument/2006/relationships/hyperlink" Target="https://www.instagram.com/vidanta/?hl=en" TargetMode="External"/><Relationship Id="rId5" Type="http://schemas.openxmlformats.org/officeDocument/2006/relationships/styles" Target="styles.xml"/><Relationship Id="rId6" Type="http://schemas.openxmlformats.org/officeDocument/2006/relationships/hyperlink" Target="https://www.jungala.com/es/index.html" TargetMode="External"/><Relationship Id="rId7" Type="http://schemas.openxmlformats.org/officeDocument/2006/relationships/hyperlink" Target="http://www.grupovidanta.com"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